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D00" w:rsidRPr="00AC29A0" w:rsidRDefault="002D2D00" w:rsidP="002D2D00">
      <w:pPr>
        <w:pStyle w:val="1"/>
        <w:spacing w:before="0" w:beforeAutospacing="0" w:after="0" w:afterAutospacing="0"/>
        <w:jc w:val="center"/>
        <w:rPr>
          <w:color w:val="auto"/>
          <w:sz w:val="24"/>
          <w:lang w:val="ru-RU"/>
        </w:rPr>
      </w:pPr>
      <w:r>
        <w:rPr>
          <w:noProof/>
          <w:color w:val="auto"/>
          <w:sz w:val="24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2385060</wp:posOffset>
            </wp:positionH>
            <wp:positionV relativeFrom="paragraph">
              <wp:posOffset>-767080</wp:posOffset>
            </wp:positionV>
            <wp:extent cx="813435" cy="711835"/>
            <wp:effectExtent l="19050" t="0" r="571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711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29A0">
        <w:rPr>
          <w:color w:val="auto"/>
          <w:sz w:val="24"/>
          <w:lang w:val="ru-RU"/>
        </w:rPr>
        <w:t>АДМИНИСТРАЦИЯ ГОРОДСКОГО ОКРУГА С ВНУТРИГОРОДСКИМ ДЕЛЕНИЕМ «ГОРОД МАХАЧКАЛА»</w:t>
      </w:r>
    </w:p>
    <w:p w:rsidR="002D2D00" w:rsidRPr="00AC29A0" w:rsidRDefault="002D2D00" w:rsidP="002D2D00">
      <w:pPr>
        <w:pStyle w:val="1"/>
        <w:spacing w:before="0" w:beforeAutospacing="0" w:after="0" w:afterAutospacing="0"/>
        <w:jc w:val="center"/>
        <w:rPr>
          <w:color w:val="auto"/>
          <w:sz w:val="24"/>
          <w:lang w:val="ru-RU"/>
        </w:rPr>
      </w:pPr>
      <w:r w:rsidRPr="00AC29A0">
        <w:rPr>
          <w:color w:val="auto"/>
          <w:sz w:val="24"/>
          <w:lang w:val="ru-RU"/>
        </w:rPr>
        <w:t>МУНИЦИПАЛЬНОЕ БЮДЖЕТНОЕ ОБЩЕОБРАЗОВАТЕЛЬНОЕ  УЧРЕЖДЕНИЕ</w:t>
      </w:r>
    </w:p>
    <w:p w:rsidR="002D2D00" w:rsidRPr="008B2ED1" w:rsidRDefault="002D2D00" w:rsidP="002D2D00">
      <w:pPr>
        <w:pStyle w:val="1"/>
        <w:spacing w:before="0" w:beforeAutospacing="0" w:after="0" w:afterAutospacing="0"/>
        <w:jc w:val="center"/>
        <w:rPr>
          <w:sz w:val="24"/>
          <w:szCs w:val="24"/>
          <w:lang w:val="ru-RU"/>
        </w:rPr>
      </w:pPr>
      <w:r w:rsidRPr="008B2ED1">
        <w:rPr>
          <w:sz w:val="24"/>
          <w:szCs w:val="24"/>
          <w:lang w:val="ru-RU"/>
        </w:rPr>
        <w:t>«</w:t>
      </w:r>
      <w:r w:rsidRPr="008B2ED1">
        <w:rPr>
          <w:color w:val="0C0E31"/>
          <w:sz w:val="24"/>
          <w:szCs w:val="24"/>
          <w:shd w:val="clear" w:color="auto" w:fill="FFFFFF"/>
          <w:lang w:val="ru-RU"/>
        </w:rPr>
        <w:t>МНОГОПРОФИЛЬНЫЙ ЛИЦЕЙ № 30</w:t>
      </w:r>
      <w:r w:rsidRPr="008B2ED1">
        <w:rPr>
          <w:sz w:val="24"/>
          <w:szCs w:val="24"/>
          <w:lang w:val="ru-RU"/>
        </w:rPr>
        <w:t>»</w:t>
      </w:r>
    </w:p>
    <w:p w:rsidR="002D2D00" w:rsidRPr="002D2D00" w:rsidRDefault="002D2D00" w:rsidP="002D2D00">
      <w:pPr>
        <w:spacing w:after="0"/>
        <w:jc w:val="center"/>
        <w:rPr>
          <w:sz w:val="8"/>
          <w:u w:val="single"/>
          <w:lang w:val="ru-RU"/>
        </w:rPr>
      </w:pPr>
      <w:r w:rsidRPr="002D2D00">
        <w:rPr>
          <w:sz w:val="8"/>
          <w:u w:val="single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Pr="002D2D00">
        <w:rPr>
          <w:i/>
          <w:lang w:val="ru-RU"/>
        </w:rPr>
        <w:t xml:space="preserve"> </w:t>
      </w:r>
      <w:r w:rsidRPr="002D2D00">
        <w:rPr>
          <w:b/>
          <w:sz w:val="19"/>
          <w:szCs w:val="19"/>
          <w:lang w:val="ru-RU"/>
        </w:rPr>
        <w:t xml:space="preserve">Ул. </w:t>
      </w:r>
      <w:r w:rsidRPr="002D2D00">
        <w:rPr>
          <w:b/>
          <w:sz w:val="19"/>
          <w:szCs w:val="19"/>
          <w:shd w:val="clear" w:color="auto" w:fill="FFFFFF"/>
          <w:lang w:val="ru-RU"/>
        </w:rPr>
        <w:t xml:space="preserve">А. </w:t>
      </w:r>
      <w:proofErr w:type="spellStart"/>
      <w:r w:rsidRPr="002D2D00">
        <w:rPr>
          <w:b/>
          <w:sz w:val="19"/>
          <w:szCs w:val="19"/>
          <w:shd w:val="clear" w:color="auto" w:fill="FFFFFF"/>
          <w:lang w:val="ru-RU"/>
        </w:rPr>
        <w:t>Исмаилова</w:t>
      </w:r>
      <w:proofErr w:type="spellEnd"/>
      <w:r w:rsidRPr="002D2D00">
        <w:rPr>
          <w:b/>
          <w:sz w:val="19"/>
          <w:szCs w:val="19"/>
          <w:shd w:val="clear" w:color="auto" w:fill="FFFFFF"/>
          <w:lang w:val="ru-RU"/>
        </w:rPr>
        <w:t>, 66 а</w:t>
      </w:r>
      <w:r w:rsidRPr="002D2D00">
        <w:rPr>
          <w:b/>
          <w:sz w:val="19"/>
          <w:szCs w:val="19"/>
          <w:lang w:val="ru-RU"/>
        </w:rPr>
        <w:t xml:space="preserve">, </w:t>
      </w:r>
      <w:proofErr w:type="gramStart"/>
      <w:r w:rsidRPr="002D2D00">
        <w:rPr>
          <w:b/>
          <w:sz w:val="19"/>
          <w:szCs w:val="19"/>
          <w:lang w:val="ru-RU"/>
        </w:rPr>
        <w:t>г</w:t>
      </w:r>
      <w:proofErr w:type="gramEnd"/>
      <w:r w:rsidRPr="002D2D00">
        <w:rPr>
          <w:b/>
          <w:sz w:val="19"/>
          <w:szCs w:val="19"/>
          <w:lang w:val="ru-RU"/>
        </w:rPr>
        <w:t xml:space="preserve">. Махачкала, Республика Дагестан, 367010, тел  (8722)  63-58-91  </w:t>
      </w:r>
      <w:r w:rsidRPr="00166D1C">
        <w:rPr>
          <w:b/>
          <w:sz w:val="19"/>
          <w:szCs w:val="19"/>
        </w:rPr>
        <w:t>e</w:t>
      </w:r>
      <w:r w:rsidRPr="002D2D00">
        <w:rPr>
          <w:b/>
          <w:sz w:val="19"/>
          <w:szCs w:val="19"/>
          <w:lang w:val="ru-RU"/>
        </w:rPr>
        <w:t>-</w:t>
      </w:r>
      <w:r w:rsidRPr="00166D1C">
        <w:rPr>
          <w:b/>
          <w:sz w:val="19"/>
          <w:szCs w:val="19"/>
        </w:rPr>
        <w:t>mail</w:t>
      </w:r>
      <w:r w:rsidRPr="002D2D00">
        <w:rPr>
          <w:b/>
          <w:sz w:val="19"/>
          <w:szCs w:val="19"/>
          <w:lang w:val="ru-RU"/>
        </w:rPr>
        <w:t xml:space="preserve">: </w:t>
      </w:r>
      <w:hyperlink r:id="rId5" w:history="1">
        <w:r w:rsidRPr="005C2081">
          <w:rPr>
            <w:rStyle w:val="a3"/>
            <w:b/>
            <w:sz w:val="19"/>
            <w:szCs w:val="19"/>
          </w:rPr>
          <w:t>ege</w:t>
        </w:r>
        <w:r w:rsidRPr="002D2D00">
          <w:rPr>
            <w:rStyle w:val="a3"/>
            <w:b/>
            <w:sz w:val="19"/>
            <w:szCs w:val="19"/>
            <w:lang w:val="ru-RU"/>
          </w:rPr>
          <w:t>20063030@</w:t>
        </w:r>
        <w:r w:rsidRPr="005C2081">
          <w:rPr>
            <w:rStyle w:val="a3"/>
            <w:b/>
            <w:sz w:val="19"/>
            <w:szCs w:val="19"/>
          </w:rPr>
          <w:t>yandex</w:t>
        </w:r>
        <w:r w:rsidRPr="002D2D00">
          <w:rPr>
            <w:rStyle w:val="a3"/>
            <w:b/>
            <w:sz w:val="19"/>
            <w:szCs w:val="19"/>
            <w:lang w:val="ru-RU"/>
          </w:rPr>
          <w:t>.</w:t>
        </w:r>
        <w:proofErr w:type="spellStart"/>
        <w:r w:rsidRPr="005C2081">
          <w:rPr>
            <w:rStyle w:val="a3"/>
            <w:b/>
            <w:sz w:val="19"/>
            <w:szCs w:val="19"/>
          </w:rPr>
          <w:t>ru</w:t>
        </w:r>
        <w:proofErr w:type="spellEnd"/>
      </w:hyperlink>
      <w:r w:rsidRPr="002D2D00">
        <w:rPr>
          <w:b/>
          <w:szCs w:val="28"/>
          <w:u w:val="single"/>
          <w:shd w:val="clear" w:color="auto" w:fill="FFFFFF"/>
          <w:lang w:val="ru-RU"/>
        </w:rPr>
        <w:t xml:space="preserve"> </w:t>
      </w:r>
      <w:r w:rsidRPr="002D2D00">
        <w:rPr>
          <w:b/>
          <w:sz w:val="20"/>
          <w:szCs w:val="28"/>
          <w:u w:val="single"/>
          <w:shd w:val="clear" w:color="auto" w:fill="FFFFFF"/>
          <w:lang w:val="ru-RU"/>
        </w:rPr>
        <w:t>ОГРН 1070562000981,ИНН/КПП 0562066994/057201001, ОКПО 49166717</w:t>
      </w:r>
    </w:p>
    <w:p w:rsidR="002D2D00" w:rsidRPr="002D2D00" w:rsidRDefault="002D2D00" w:rsidP="002D2D00">
      <w:pPr>
        <w:spacing w:after="208" w:line="235" w:lineRule="atLeast"/>
        <w:jc w:val="center"/>
        <w:rPr>
          <w:rFonts w:ascii="Arial" w:eastAsia="Times New Roman" w:hAnsi="Arial" w:cs="Arial"/>
          <w:sz w:val="18"/>
          <w:szCs w:val="18"/>
          <w:lang w:val="ru-RU" w:eastAsia="ru-RU"/>
        </w:rPr>
      </w:pPr>
      <w:r w:rsidRPr="002D2D00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r w:rsidRPr="00746644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991F55" w:rsidRPr="00EC6104" w:rsidRDefault="0059165D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EC6104">
        <w:rPr>
          <w:rFonts w:hAnsi="Times New Roman" w:cs="Times New Roman"/>
          <w:b/>
          <w:bCs/>
          <w:color w:val="000000"/>
          <w:sz w:val="28"/>
          <w:szCs w:val="28"/>
        </w:rPr>
        <w:t>ПРИКАЗ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2"/>
        <w:gridCol w:w="1818"/>
        <w:gridCol w:w="979"/>
        <w:gridCol w:w="2247"/>
        <w:gridCol w:w="2340"/>
        <w:gridCol w:w="568"/>
        <w:gridCol w:w="886"/>
      </w:tblGrid>
      <w:tr w:rsidR="00991F55" w:rsidTr="002D2D00">
        <w:tc>
          <w:tcPr>
            <w:tcW w:w="5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F55" w:rsidRPr="00EC6104" w:rsidRDefault="00991F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F55" w:rsidRPr="00EC6104" w:rsidRDefault="002D2D00" w:rsidP="002D2D0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C610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06</w:t>
            </w:r>
            <w:r w:rsidR="0059165D" w:rsidRPr="00EC6104">
              <w:rPr>
                <w:rFonts w:hAnsi="Times New Roman" w:cs="Times New Roman"/>
                <w:color w:val="000000"/>
                <w:sz w:val="28"/>
                <w:szCs w:val="28"/>
              </w:rPr>
              <w:t>.0</w:t>
            </w:r>
            <w:r w:rsidRPr="00EC610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59165D" w:rsidRPr="00EC6104">
              <w:rPr>
                <w:rFonts w:hAnsi="Times New Roman" w:cs="Times New Roman"/>
                <w:color w:val="000000"/>
                <w:sz w:val="28"/>
                <w:szCs w:val="28"/>
              </w:rPr>
              <w:t>.2020</w:t>
            </w:r>
          </w:p>
        </w:tc>
        <w:tc>
          <w:tcPr>
            <w:tcW w:w="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F55" w:rsidRDefault="00991F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F55" w:rsidRDefault="00991F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F55" w:rsidRDefault="00991F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F55" w:rsidRPr="002D2D00" w:rsidRDefault="0059165D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D2D00">
              <w:rPr>
                <w:rFonts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F55" w:rsidRPr="002D2D00" w:rsidRDefault="002D2D0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D2D0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124-П</w:t>
            </w:r>
          </w:p>
        </w:tc>
      </w:tr>
    </w:tbl>
    <w:p w:rsidR="00991F55" w:rsidRPr="002D2D00" w:rsidRDefault="0059165D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D2D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Pr="002D2D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мониторинге</w:t>
      </w:r>
      <w:r w:rsidRPr="002D2D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успеваемости</w:t>
      </w:r>
      <w:r w:rsidRPr="002D2D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gramStart"/>
      <w:r w:rsidRPr="002D2D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обучающихся</w:t>
      </w:r>
      <w:proofErr w:type="gramEnd"/>
      <w:r w:rsidRPr="002D2D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Pr="002D2D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дистанционном</w:t>
      </w:r>
      <w:r w:rsidRPr="002D2D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обучении</w:t>
      </w:r>
      <w:r w:rsidRPr="002D2D00">
        <w:rPr>
          <w:rFonts w:hAnsi="Times New Roman" w:cs="Times New Roman"/>
          <w:b/>
          <w:bCs/>
          <w:color w:val="000000"/>
          <w:sz w:val="28"/>
          <w:szCs w:val="28"/>
        </w:rPr>
        <w:t> </w:t>
      </w:r>
    </w:p>
    <w:p w:rsidR="00991F55" w:rsidRPr="002D2D00" w:rsidRDefault="0059165D" w:rsidP="002D2D00">
      <w:pPr>
        <w:spacing w:after="208" w:line="23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приказом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D2D00" w:rsidRPr="002D2D0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МКУ «Управления образования» </w:t>
      </w:r>
      <w:proofErr w:type="gramStart"/>
      <w:r w:rsidR="002D2D00" w:rsidRPr="002D2D0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г</w:t>
      </w:r>
      <w:proofErr w:type="gramEnd"/>
      <w:r w:rsidR="002D2D00" w:rsidRPr="002D2D0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. Махачкала от 06.04.2020 № 56-П «О переходе общеобразовательных организаций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                    </w:t>
      </w:r>
      <w:r w:rsidR="002D2D00" w:rsidRPr="002D2D0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г. Махачкала на дистанционное обучение в условиях распространения новой </w:t>
      </w:r>
      <w:proofErr w:type="spellStart"/>
      <w:r w:rsidR="002D2D00" w:rsidRPr="002D2D0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коронавирусной</w:t>
      </w:r>
      <w:proofErr w:type="spellEnd"/>
      <w:r w:rsidR="002D2D00" w:rsidRPr="002D2D0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инфекции»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,</w:t>
      </w:r>
      <w:r w:rsidR="002D2D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целях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контроля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реализацией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полном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объеме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</w:p>
    <w:p w:rsidR="00991F55" w:rsidRPr="002D2D00" w:rsidRDefault="0059165D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ПРИКАЗЫВАЮ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991F55" w:rsidRPr="002D2D00" w:rsidRDefault="0059165D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1.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Назначить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D2D00" w:rsidRPr="002D2D00">
        <w:rPr>
          <w:rFonts w:hAnsi="Times New Roman" w:cs="Times New Roman"/>
          <w:color w:val="000000"/>
          <w:sz w:val="28"/>
          <w:szCs w:val="28"/>
          <w:lang w:val="ru-RU"/>
        </w:rPr>
        <w:t>Теймурову</w:t>
      </w:r>
      <w:proofErr w:type="spellEnd"/>
      <w:r w:rsidR="002D2D00"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Г.Р.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2D2D00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="002D2D00">
        <w:rPr>
          <w:rFonts w:hAnsi="Times New Roman" w:cs="Times New Roman"/>
          <w:color w:val="000000"/>
          <w:sz w:val="28"/>
          <w:szCs w:val="28"/>
          <w:lang w:val="ru-RU"/>
        </w:rPr>
        <w:t>Кантулову</w:t>
      </w:r>
      <w:proofErr w:type="spellEnd"/>
      <w:r w:rsid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Э.Р., Керимову М.А., </w:t>
      </w:r>
      <w:proofErr w:type="spellStart"/>
      <w:r w:rsidR="002D2D00">
        <w:rPr>
          <w:rFonts w:hAnsi="Times New Roman" w:cs="Times New Roman"/>
          <w:color w:val="000000"/>
          <w:sz w:val="28"/>
          <w:szCs w:val="28"/>
          <w:lang w:val="ru-RU"/>
        </w:rPr>
        <w:t>Гамидову</w:t>
      </w:r>
      <w:proofErr w:type="spellEnd"/>
      <w:r w:rsid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З.С., Мусаеву З.Р., заместителей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УВР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gramStart"/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ответственным</w:t>
      </w:r>
      <w:r w:rsidR="002D2D0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proofErr w:type="gramEnd"/>
      <w:r w:rsid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мониторинг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успеваемости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дистанционном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обучении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возложить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D2D00">
        <w:rPr>
          <w:rFonts w:hAnsi="Times New Roman" w:cs="Times New Roman"/>
          <w:color w:val="000000"/>
          <w:sz w:val="28"/>
          <w:szCs w:val="28"/>
          <w:lang w:val="ru-RU"/>
        </w:rPr>
        <w:t>них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обязанности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проверке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обобщению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анализу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91F55" w:rsidRPr="002D2D00" w:rsidRDefault="0059165D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="002D2D00"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="002D2D00" w:rsidRPr="002D2D00">
        <w:rPr>
          <w:rFonts w:hAnsi="Times New Roman" w:cs="Times New Roman"/>
          <w:color w:val="000000"/>
          <w:sz w:val="28"/>
          <w:szCs w:val="28"/>
          <w:lang w:val="ru-RU"/>
        </w:rPr>
        <w:t>Теймуровой</w:t>
      </w:r>
      <w:proofErr w:type="spellEnd"/>
      <w:r w:rsidR="002D2D00"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Г.Р.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2D2D00">
        <w:rPr>
          <w:rFonts w:hAnsi="Times New Roman" w:cs="Times New Roman"/>
          <w:color w:val="000000"/>
          <w:sz w:val="28"/>
          <w:szCs w:val="28"/>
          <w:lang w:val="ru-RU"/>
        </w:rPr>
        <w:t>Кантуловой</w:t>
      </w:r>
      <w:proofErr w:type="spellEnd"/>
      <w:r w:rsid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Э.Р., Керимовой М.А., </w:t>
      </w:r>
      <w:proofErr w:type="spellStart"/>
      <w:r w:rsidR="002D2D00">
        <w:rPr>
          <w:rFonts w:hAnsi="Times New Roman" w:cs="Times New Roman"/>
          <w:color w:val="000000"/>
          <w:sz w:val="28"/>
          <w:szCs w:val="28"/>
          <w:lang w:val="ru-RU"/>
        </w:rPr>
        <w:t>Гамидовой</w:t>
      </w:r>
      <w:proofErr w:type="spellEnd"/>
      <w:r w:rsid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З.С., Мусаевой З.Р., заместителям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дире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ктора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УВР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991F55" w:rsidRPr="002D2D00" w:rsidRDefault="0059165D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2.1.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Проводить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мониторинг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своевременности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заполнения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EC6104">
        <w:rPr>
          <w:rFonts w:hAnsi="Times New Roman" w:cs="Times New Roman"/>
          <w:color w:val="000000"/>
          <w:sz w:val="28"/>
          <w:szCs w:val="28"/>
          <w:lang w:val="ru-RU"/>
        </w:rPr>
        <w:t>классных</w:t>
      </w:r>
      <w:r w:rsidR="002D2D00"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EC6104">
        <w:rPr>
          <w:rFonts w:hAnsi="Times New Roman" w:cs="Times New Roman"/>
          <w:color w:val="000000"/>
          <w:sz w:val="28"/>
          <w:szCs w:val="28"/>
          <w:lang w:val="ru-RU"/>
        </w:rPr>
        <w:t>журналов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педагогами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ежедневно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91F55" w:rsidRPr="002D2D00" w:rsidRDefault="0059165D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2.2.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Проводить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мониторинг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накопляемости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отметок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предметам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один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раз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неделю</w:t>
      </w:r>
      <w:r w:rsidR="00EC6104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положением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нормах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отметок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предметам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91F55" w:rsidRPr="002D2D00" w:rsidRDefault="0059165D" w:rsidP="002D2D00">
      <w:pPr>
        <w:ind w:right="-421"/>
        <w:rPr>
          <w:rFonts w:hAnsi="Times New Roman" w:cs="Times New Roman"/>
          <w:color w:val="000000"/>
          <w:sz w:val="28"/>
          <w:szCs w:val="28"/>
          <w:lang w:val="ru-RU"/>
        </w:rPr>
      </w:pP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2.3.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Про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водить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мониторинг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выполнения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рабочих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один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раз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неделю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91F55" w:rsidRPr="002D2D00" w:rsidRDefault="0059165D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2.4.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Обобщать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данные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мониторинга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аналитической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справке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периодичностью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один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раз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неделю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91F55" w:rsidRPr="002D2D00" w:rsidRDefault="0059165D" w:rsidP="005916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3. </w:t>
      </w:r>
      <w:proofErr w:type="spellStart"/>
      <w:r w:rsidR="002D2D00">
        <w:rPr>
          <w:rFonts w:hAnsi="Times New Roman" w:cs="Times New Roman"/>
          <w:color w:val="000000"/>
          <w:sz w:val="28"/>
          <w:szCs w:val="28"/>
          <w:lang w:val="ru-RU"/>
        </w:rPr>
        <w:t>Салаватовой</w:t>
      </w:r>
      <w:proofErr w:type="spellEnd"/>
      <w:r w:rsid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А.Я.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заместителю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ВР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991F55" w:rsidRPr="002D2D00" w:rsidRDefault="0059165D" w:rsidP="0059165D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3.1.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Вести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контроль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посещаемостью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электронных образовательных платформ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ежедневно</w:t>
      </w:r>
      <w:r w:rsidRPr="002D2D0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91F55" w:rsidRPr="00EC6104" w:rsidRDefault="0059165D" w:rsidP="0059165D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 xml:space="preserve">3.2. 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>Вести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>контроль</w:t>
      </w:r>
      <w:r w:rsidRPr="00EC6104">
        <w:rPr>
          <w:rFonts w:hAnsi="Times New Roman" w:cs="Times New Roman"/>
          <w:color w:val="000000"/>
          <w:sz w:val="28"/>
          <w:szCs w:val="28"/>
        </w:rPr>
        <w:t> </w:t>
      </w:r>
      <w:proofErr w:type="gramStart"/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>временно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>причине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>болезни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>участвуют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>образовательном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>процессе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>ежедневно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91F55" w:rsidRPr="00EC6104" w:rsidRDefault="0059165D" w:rsidP="0059165D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 xml:space="preserve">3.3. 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>контроля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>сообщать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C6104" w:rsidRPr="00EC6104">
        <w:rPr>
          <w:rFonts w:hAnsi="Times New Roman" w:cs="Times New Roman"/>
          <w:color w:val="000000"/>
          <w:sz w:val="28"/>
          <w:szCs w:val="28"/>
          <w:lang w:val="ru-RU"/>
        </w:rPr>
        <w:t>Теймуровой</w:t>
      </w:r>
      <w:proofErr w:type="spellEnd"/>
      <w:r w:rsidR="00EC6104" w:rsidRPr="00EC6104">
        <w:rPr>
          <w:rFonts w:hAnsi="Times New Roman" w:cs="Times New Roman"/>
          <w:color w:val="000000"/>
          <w:sz w:val="28"/>
          <w:szCs w:val="28"/>
          <w:lang w:val="ru-RU"/>
        </w:rPr>
        <w:t xml:space="preserve"> Г.Р.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EC6104">
        <w:rPr>
          <w:rFonts w:hAnsi="Times New Roman" w:cs="Times New Roman"/>
          <w:color w:val="000000"/>
          <w:sz w:val="28"/>
          <w:szCs w:val="28"/>
          <w:lang w:val="ru-RU"/>
        </w:rPr>
        <w:t>ответственной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>мониторинг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>успеваемости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>дистанционном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>обучении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>ежедневно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91F55" w:rsidRPr="00EC6104" w:rsidRDefault="0059165D" w:rsidP="0059165D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 xml:space="preserve">4. 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>Контроль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>исполнения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>приказа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>возложить</w:t>
      </w:r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proofErr w:type="gramEnd"/>
      <w:r w:rsidRPr="00EC610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EC6104" w:rsidRPr="00EC6104">
        <w:rPr>
          <w:rFonts w:hAnsi="Times New Roman" w:cs="Times New Roman"/>
          <w:color w:val="000000"/>
          <w:sz w:val="28"/>
          <w:szCs w:val="28"/>
          <w:lang w:val="ru-RU"/>
        </w:rPr>
        <w:t>зам</w:t>
      </w:r>
      <w:proofErr w:type="gramEnd"/>
      <w:r w:rsidR="00EC6104" w:rsidRPr="00EC6104">
        <w:rPr>
          <w:rFonts w:hAnsi="Times New Roman" w:cs="Times New Roman"/>
          <w:color w:val="000000"/>
          <w:sz w:val="28"/>
          <w:szCs w:val="28"/>
          <w:lang w:val="ru-RU"/>
        </w:rPr>
        <w:t xml:space="preserve">. директора по УВР </w:t>
      </w:r>
      <w:proofErr w:type="spellStart"/>
      <w:r w:rsidR="00EC6104" w:rsidRPr="00EC6104">
        <w:rPr>
          <w:rFonts w:hAnsi="Times New Roman" w:cs="Times New Roman"/>
          <w:color w:val="000000"/>
          <w:sz w:val="28"/>
          <w:szCs w:val="28"/>
          <w:lang w:val="ru-RU"/>
        </w:rPr>
        <w:t>Теймурову</w:t>
      </w:r>
      <w:proofErr w:type="spellEnd"/>
      <w:r w:rsidR="00EC6104" w:rsidRPr="00EC6104">
        <w:rPr>
          <w:rFonts w:hAnsi="Times New Roman" w:cs="Times New Roman"/>
          <w:color w:val="000000"/>
          <w:sz w:val="28"/>
          <w:szCs w:val="28"/>
          <w:lang w:val="ru-RU"/>
        </w:rPr>
        <w:t xml:space="preserve"> Г.Р.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72"/>
        <w:gridCol w:w="3744"/>
        <w:gridCol w:w="187"/>
        <w:gridCol w:w="4024"/>
      </w:tblGrid>
      <w:tr w:rsidR="00991F55">
        <w:tc>
          <w:tcPr>
            <w:tcW w:w="12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55" w:rsidRPr="00EC6104" w:rsidRDefault="0059165D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6104">
              <w:rPr>
                <w:rFonts w:hAnsi="Times New Roman" w:cs="Times New Roman"/>
                <w:color w:val="000000"/>
                <w:sz w:val="28"/>
                <w:szCs w:val="28"/>
              </w:rPr>
              <w:t>Директор</w:t>
            </w:r>
            <w:proofErr w:type="spellEnd"/>
            <w:r w:rsidRPr="00EC6104">
              <w:rPr>
                <w:rFonts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37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55" w:rsidRPr="00EC6104" w:rsidRDefault="00991F55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55" w:rsidRDefault="00991F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55" w:rsidRPr="00EC6104" w:rsidRDefault="00EC6104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C610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С.Г. </w:t>
            </w:r>
            <w:proofErr w:type="spellStart"/>
            <w:r w:rsidRPr="00EC610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Малиотаки</w:t>
            </w:r>
            <w:proofErr w:type="spellEnd"/>
          </w:p>
        </w:tc>
      </w:tr>
      <w:tr w:rsidR="00991F55">
        <w:tc>
          <w:tcPr>
            <w:tcW w:w="12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55" w:rsidRDefault="00991F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55" w:rsidRPr="00EC6104" w:rsidRDefault="00991F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55" w:rsidRDefault="00991F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55" w:rsidRPr="00EC6104" w:rsidRDefault="00991F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91F55" w:rsidRDefault="00991F55">
      <w:pPr>
        <w:rPr>
          <w:rFonts w:hAnsi="Times New Roman" w:cs="Times New Roman"/>
          <w:color w:val="000000"/>
          <w:sz w:val="24"/>
          <w:szCs w:val="24"/>
        </w:rPr>
      </w:pPr>
    </w:p>
    <w:p w:rsidR="00991F55" w:rsidRPr="00EC6104" w:rsidRDefault="005916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1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C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610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C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6104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EC6104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C610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proofErr w:type="gramEnd"/>
      <w:r w:rsidRPr="00EC6104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proofErr w:type="spellEnd"/>
      <w:r w:rsidRPr="00EC6104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:rsidR="00991F55" w:rsidRPr="00EC6104" w:rsidRDefault="00EC610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Теймурова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Г.Р.              Электр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очта</w:t>
      </w:r>
    </w:p>
    <w:p w:rsidR="00991F55" w:rsidRDefault="00EC610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Салаватова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А.Я.             Электр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очта</w:t>
      </w:r>
    </w:p>
    <w:p w:rsidR="00EC6104" w:rsidRDefault="00EC610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Кантулова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Э.Р.               Электр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очта</w:t>
      </w:r>
    </w:p>
    <w:p w:rsidR="00EC6104" w:rsidRDefault="00EC610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Гамидова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З.С.                 Электр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очта</w:t>
      </w:r>
    </w:p>
    <w:p w:rsidR="00EC6104" w:rsidRDefault="00EC610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Мусаева З.Р.                   Электр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очта</w:t>
      </w:r>
    </w:p>
    <w:p w:rsidR="00EC6104" w:rsidRPr="00EC6104" w:rsidRDefault="00EC6104" w:rsidP="00EC610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Керимова М.А.               Электр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очта</w:t>
      </w:r>
    </w:p>
    <w:p w:rsidR="00EC6104" w:rsidRPr="00EC6104" w:rsidRDefault="00EC610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C6104" w:rsidRPr="00EC6104" w:rsidSect="00991F5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2D00"/>
    <w:rsid w:val="002D33B1"/>
    <w:rsid w:val="002D3591"/>
    <w:rsid w:val="003514A0"/>
    <w:rsid w:val="004F7E17"/>
    <w:rsid w:val="0059165D"/>
    <w:rsid w:val="005A05CE"/>
    <w:rsid w:val="00653AF6"/>
    <w:rsid w:val="00991F55"/>
    <w:rsid w:val="00B73A5A"/>
    <w:rsid w:val="00E438A1"/>
    <w:rsid w:val="00EC6104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2D2D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ge20063030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user</cp:lastModifiedBy>
  <cp:revision>6</cp:revision>
  <dcterms:created xsi:type="dcterms:W3CDTF">2011-11-02T04:15:00Z</dcterms:created>
  <dcterms:modified xsi:type="dcterms:W3CDTF">2020-04-09T05:21:00Z</dcterms:modified>
</cp:coreProperties>
</file>